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F93" w:rsidRDefault="00FC5F93" w:rsidP="00FC5F93">
      <w:pPr>
        <w:spacing w:after="0" w:line="360" w:lineRule="auto"/>
        <w:jc w:val="both"/>
        <w:rPr>
          <w:rFonts w:ascii="Times New Roman" w:hAnsi="Times New Roman"/>
          <w:i/>
          <w:sz w:val="24"/>
          <w:szCs w:val="24"/>
          <w:lang w:val="en-US"/>
        </w:rPr>
      </w:pPr>
      <w:r w:rsidRPr="00403E9C">
        <w:rPr>
          <w:rFonts w:ascii="Times New Roman" w:hAnsi="Times New Roman"/>
          <w:i/>
          <w:sz w:val="24"/>
          <w:szCs w:val="24"/>
          <w:lang w:val="en-GB"/>
        </w:rPr>
        <w:t xml:space="preserve">Gender and family economies at times of crisis: between work and social resources. </w:t>
      </w:r>
      <w:r w:rsidRPr="00403E9C">
        <w:rPr>
          <w:rFonts w:ascii="Times New Roman" w:hAnsi="Times New Roman"/>
          <w:i/>
          <w:sz w:val="24"/>
          <w:szCs w:val="24"/>
          <w:lang w:val="en-US"/>
        </w:rPr>
        <w:t>Barcelona</w:t>
      </w:r>
      <w:proofErr w:type="gramStart"/>
      <w:r w:rsidRPr="00403E9C">
        <w:rPr>
          <w:rFonts w:ascii="Times New Roman" w:hAnsi="Times New Roman"/>
          <w:i/>
          <w:sz w:val="24"/>
          <w:szCs w:val="24"/>
          <w:lang w:val="en-US"/>
        </w:rPr>
        <w:t>,</w:t>
      </w:r>
      <w:r>
        <w:rPr>
          <w:rFonts w:ascii="Times New Roman" w:hAnsi="Times New Roman"/>
          <w:i/>
          <w:sz w:val="24"/>
          <w:szCs w:val="24"/>
          <w:lang w:val="en-US"/>
        </w:rPr>
        <w:t>18</w:t>
      </w:r>
      <w:r w:rsidRPr="00085797">
        <w:rPr>
          <w:rFonts w:ascii="Times New Roman" w:hAnsi="Times New Roman"/>
          <w:i/>
          <w:sz w:val="24"/>
          <w:szCs w:val="24"/>
          <w:vertAlign w:val="superscript"/>
          <w:lang w:val="en-US"/>
        </w:rPr>
        <w:t>th</w:t>
      </w:r>
      <w:proofErr w:type="gramEnd"/>
      <w:r>
        <w:rPr>
          <w:rFonts w:ascii="Times New Roman" w:hAnsi="Times New Roman"/>
          <w:i/>
          <w:sz w:val="24"/>
          <w:szCs w:val="24"/>
          <w:lang w:val="en-US"/>
        </w:rPr>
        <w:t>-19</w:t>
      </w:r>
      <w:r w:rsidRPr="00085797">
        <w:rPr>
          <w:rFonts w:ascii="Times New Roman" w:hAnsi="Times New Roman"/>
          <w:i/>
          <w:sz w:val="24"/>
          <w:szCs w:val="24"/>
          <w:vertAlign w:val="superscript"/>
          <w:lang w:val="en-US"/>
        </w:rPr>
        <w:t>th</w:t>
      </w:r>
      <w:r>
        <w:rPr>
          <w:rFonts w:ascii="Times New Roman" w:hAnsi="Times New Roman"/>
          <w:i/>
          <w:sz w:val="24"/>
          <w:szCs w:val="24"/>
          <w:lang w:val="en-US"/>
        </w:rPr>
        <w:t xml:space="preserve"> century.</w:t>
      </w:r>
      <w:r w:rsidRPr="004712AB">
        <w:rPr>
          <w:rFonts w:ascii="Times New Roman" w:hAnsi="Times New Roman"/>
          <w:i/>
          <w:sz w:val="24"/>
          <w:szCs w:val="24"/>
          <w:lang w:val="en-US"/>
        </w:rPr>
        <w:t xml:space="preserve"> </w:t>
      </w:r>
    </w:p>
    <w:p w:rsidR="00FC5F93" w:rsidRDefault="00FC5F93" w:rsidP="00FC5F93">
      <w:pPr>
        <w:spacing w:after="0" w:line="360" w:lineRule="auto"/>
        <w:jc w:val="both"/>
        <w:rPr>
          <w:rFonts w:ascii="Times New Roman" w:hAnsi="Times New Roman"/>
          <w:sz w:val="24"/>
          <w:szCs w:val="24"/>
          <w:lang w:val="en-US"/>
        </w:rPr>
      </w:pPr>
    </w:p>
    <w:p w:rsidR="00FC5F93" w:rsidRDefault="00FC5F93" w:rsidP="00FC5F93">
      <w:p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Montserrat </w:t>
      </w:r>
      <w:proofErr w:type="spellStart"/>
      <w:r>
        <w:rPr>
          <w:rFonts w:ascii="Times New Roman" w:hAnsi="Times New Roman"/>
          <w:sz w:val="24"/>
          <w:szCs w:val="24"/>
          <w:lang w:val="en-US"/>
        </w:rPr>
        <w:t>Carbonell</w:t>
      </w:r>
      <w:proofErr w:type="spellEnd"/>
      <w:r w:rsidRPr="004712AB">
        <w:rPr>
          <w:rFonts w:ascii="Times New Roman" w:hAnsi="Times New Roman"/>
          <w:sz w:val="24"/>
          <w:szCs w:val="24"/>
          <w:lang w:val="en-US"/>
        </w:rPr>
        <w:t xml:space="preserve"> </w:t>
      </w:r>
      <w:r>
        <w:rPr>
          <w:rFonts w:ascii="Times New Roman" w:hAnsi="Times New Roman"/>
          <w:sz w:val="24"/>
          <w:szCs w:val="24"/>
          <w:lang w:val="en-US"/>
        </w:rPr>
        <w:t>(</w:t>
      </w:r>
      <w:r w:rsidRPr="004712AB">
        <w:rPr>
          <w:rFonts w:ascii="Times New Roman" w:hAnsi="Times New Roman"/>
          <w:sz w:val="24"/>
          <w:szCs w:val="24"/>
          <w:lang w:val="en-US"/>
        </w:rPr>
        <w:t>University of Barcelona</w:t>
      </w:r>
      <w:r>
        <w:rPr>
          <w:rFonts w:ascii="Times New Roman" w:hAnsi="Times New Roman"/>
          <w:sz w:val="24"/>
          <w:szCs w:val="24"/>
          <w:lang w:val="en-US"/>
        </w:rPr>
        <w:t>)</w:t>
      </w:r>
      <w:r w:rsidRPr="004712AB">
        <w:rPr>
          <w:rFonts w:ascii="Times New Roman" w:hAnsi="Times New Roman"/>
          <w:sz w:val="24"/>
          <w:szCs w:val="24"/>
          <w:lang w:val="en-US"/>
        </w:rPr>
        <w:t xml:space="preserve">. </w:t>
      </w:r>
      <w:r>
        <w:rPr>
          <w:rFonts w:ascii="Times New Roman" w:hAnsi="Times New Roman"/>
          <w:sz w:val="24"/>
          <w:szCs w:val="24"/>
          <w:lang w:val="en-US"/>
        </w:rPr>
        <w:t xml:space="preserve"> </w:t>
      </w:r>
      <w:hyperlink r:id="rId4" w:history="1">
        <w:r w:rsidRPr="0076225F">
          <w:rPr>
            <w:rStyle w:val="Hyperlink"/>
            <w:rFonts w:ascii="Times New Roman" w:hAnsi="Times New Roman"/>
            <w:sz w:val="24"/>
            <w:szCs w:val="24"/>
            <w:lang w:val="en-US"/>
          </w:rPr>
          <w:t>montsecarbonell@ub.edu</w:t>
        </w:r>
      </w:hyperlink>
    </w:p>
    <w:p w:rsidR="00FC5F93" w:rsidRDefault="00FC5F93" w:rsidP="00FC5F93">
      <w:pPr>
        <w:spacing w:after="0" w:line="360" w:lineRule="auto"/>
        <w:jc w:val="both"/>
        <w:rPr>
          <w:rFonts w:ascii="Times New Roman" w:hAnsi="Times New Roman"/>
          <w:b/>
          <w:sz w:val="20"/>
          <w:szCs w:val="20"/>
          <w:lang w:val="en-GB"/>
        </w:rPr>
      </w:pPr>
    </w:p>
    <w:p w:rsidR="00FC5F93" w:rsidRPr="00E871FE" w:rsidRDefault="00FC5F93" w:rsidP="00FC5F93">
      <w:pPr>
        <w:spacing w:after="0" w:line="360" w:lineRule="auto"/>
        <w:jc w:val="both"/>
        <w:rPr>
          <w:rFonts w:ascii="Times New Roman" w:hAnsi="Times New Roman"/>
          <w:sz w:val="20"/>
          <w:szCs w:val="20"/>
          <w:lang w:val="en-GB"/>
        </w:rPr>
      </w:pPr>
      <w:bookmarkStart w:id="0" w:name="_GoBack"/>
      <w:bookmarkEnd w:id="0"/>
      <w:r w:rsidRPr="00CC07D5">
        <w:rPr>
          <w:rFonts w:ascii="Times New Roman" w:hAnsi="Times New Roman"/>
          <w:b/>
          <w:sz w:val="20"/>
          <w:szCs w:val="20"/>
          <w:lang w:val="en-GB"/>
        </w:rPr>
        <w:t>Abstract:</w:t>
      </w:r>
      <w:r>
        <w:rPr>
          <w:rFonts w:ascii="Times New Roman" w:hAnsi="Times New Roman"/>
          <w:sz w:val="20"/>
          <w:szCs w:val="20"/>
          <w:lang w:val="en-GB"/>
        </w:rPr>
        <w:t xml:space="preserve"> </w:t>
      </w:r>
      <w:r w:rsidRPr="00E871FE">
        <w:rPr>
          <w:rFonts w:ascii="Times New Roman" w:hAnsi="Times New Roman"/>
          <w:sz w:val="20"/>
          <w:szCs w:val="20"/>
          <w:lang w:val="en-GB"/>
        </w:rPr>
        <w:t xml:space="preserve">The aim of this paper is to show how the family economies and strategies of ordinary people, characteristic of the </w:t>
      </w:r>
      <w:proofErr w:type="spellStart"/>
      <w:r w:rsidRPr="00E871FE">
        <w:rPr>
          <w:rFonts w:ascii="Times New Roman" w:hAnsi="Times New Roman"/>
          <w:sz w:val="20"/>
          <w:szCs w:val="20"/>
          <w:lang w:val="en-GB"/>
        </w:rPr>
        <w:t>ancien</w:t>
      </w:r>
      <w:proofErr w:type="spellEnd"/>
      <w:r w:rsidRPr="00E871FE">
        <w:rPr>
          <w:rFonts w:ascii="Times New Roman" w:hAnsi="Times New Roman"/>
          <w:sz w:val="20"/>
          <w:szCs w:val="20"/>
          <w:lang w:val="en-GB"/>
        </w:rPr>
        <w:t xml:space="preserve"> régime, operate at times of crisis. This approach will be from a gender perspective in order to demonstrate the role played by women in this process. For </w:t>
      </w:r>
      <w:proofErr w:type="gramStart"/>
      <w:r w:rsidRPr="00E871FE">
        <w:rPr>
          <w:rFonts w:ascii="Times New Roman" w:hAnsi="Times New Roman"/>
          <w:sz w:val="20"/>
          <w:szCs w:val="20"/>
          <w:lang w:val="en-GB"/>
        </w:rPr>
        <w:t>this</w:t>
      </w:r>
      <w:proofErr w:type="gramEnd"/>
      <w:r w:rsidRPr="00E871FE">
        <w:rPr>
          <w:rFonts w:ascii="Times New Roman" w:hAnsi="Times New Roman"/>
          <w:sz w:val="20"/>
          <w:szCs w:val="20"/>
          <w:lang w:val="en-GB"/>
        </w:rPr>
        <w:t xml:space="preserve"> I will present a historiographical review of the studies on family economies and strategies in the last two decades and the role played by women’s agency in them. Beyond paid work in the formal and informal sphere, and even beyond unpaid work in the domestic sphere, a further space of activity exists to obtain essential resources for survival. Various authors have given this phenomenon a name: </w:t>
      </w:r>
      <w:r w:rsidRPr="00E871FE">
        <w:rPr>
          <w:rFonts w:ascii="Times New Roman" w:hAnsi="Times New Roman"/>
          <w:i/>
          <w:sz w:val="20"/>
          <w:szCs w:val="20"/>
          <w:lang w:val="en-GB"/>
        </w:rPr>
        <w:t>economies of improvisation</w:t>
      </w:r>
      <w:r w:rsidRPr="00E871FE">
        <w:rPr>
          <w:rFonts w:ascii="Times New Roman" w:hAnsi="Times New Roman"/>
          <w:b/>
          <w:sz w:val="20"/>
          <w:szCs w:val="20"/>
          <w:lang w:val="en-GB"/>
        </w:rPr>
        <w:t xml:space="preserve"> </w:t>
      </w:r>
      <w:r w:rsidRPr="00E871FE">
        <w:rPr>
          <w:rFonts w:ascii="Times New Roman" w:hAnsi="Times New Roman"/>
          <w:sz w:val="20"/>
          <w:szCs w:val="20"/>
          <w:lang w:val="en-GB"/>
        </w:rPr>
        <w:t>(</w:t>
      </w:r>
      <w:proofErr w:type="spellStart"/>
      <w:r w:rsidRPr="00E871FE">
        <w:rPr>
          <w:rFonts w:ascii="Times New Roman" w:hAnsi="Times New Roman"/>
          <w:sz w:val="20"/>
          <w:szCs w:val="20"/>
          <w:lang w:val="en-GB"/>
        </w:rPr>
        <w:t>Hufton</w:t>
      </w:r>
      <w:proofErr w:type="spellEnd"/>
      <w:r w:rsidRPr="00E871FE">
        <w:rPr>
          <w:rFonts w:ascii="Times New Roman" w:hAnsi="Times New Roman"/>
          <w:sz w:val="20"/>
          <w:szCs w:val="20"/>
          <w:lang w:val="en-GB"/>
        </w:rPr>
        <w:t xml:space="preserve">, 1974), </w:t>
      </w:r>
      <w:r w:rsidRPr="00E871FE">
        <w:rPr>
          <w:rFonts w:ascii="Times New Roman" w:hAnsi="Times New Roman"/>
          <w:i/>
          <w:sz w:val="20"/>
          <w:szCs w:val="20"/>
          <w:lang w:val="en-GB"/>
        </w:rPr>
        <w:t>survival strategies</w:t>
      </w:r>
      <w:r w:rsidRPr="00E871FE">
        <w:rPr>
          <w:rFonts w:ascii="Times New Roman" w:hAnsi="Times New Roman"/>
          <w:sz w:val="20"/>
          <w:szCs w:val="20"/>
          <w:lang w:val="en-GB"/>
        </w:rPr>
        <w:t xml:space="preserve"> (Woolf 1989), mixed</w:t>
      </w:r>
      <w:r w:rsidRPr="00E871FE">
        <w:rPr>
          <w:rFonts w:ascii="Times New Roman" w:hAnsi="Times New Roman"/>
          <w:i/>
          <w:sz w:val="20"/>
          <w:szCs w:val="20"/>
          <w:lang w:val="en-GB"/>
        </w:rPr>
        <w:t xml:space="preserve"> welfare economies </w:t>
      </w:r>
      <w:r w:rsidRPr="00E871FE">
        <w:rPr>
          <w:rFonts w:ascii="Times New Roman" w:hAnsi="Times New Roman"/>
          <w:sz w:val="20"/>
          <w:szCs w:val="20"/>
          <w:lang w:val="en-GB"/>
        </w:rPr>
        <w:t xml:space="preserve">(Harris, 2009), </w:t>
      </w:r>
      <w:r w:rsidRPr="00E871FE">
        <w:rPr>
          <w:rFonts w:ascii="Times New Roman" w:hAnsi="Times New Roman"/>
          <w:i/>
          <w:sz w:val="20"/>
          <w:szCs w:val="20"/>
          <w:lang w:val="en-GB"/>
        </w:rPr>
        <w:t>grassroots economies</w:t>
      </w:r>
      <w:r w:rsidRPr="00E871FE">
        <w:rPr>
          <w:rFonts w:ascii="Times New Roman" w:hAnsi="Times New Roman"/>
          <w:sz w:val="20"/>
          <w:szCs w:val="20"/>
          <w:lang w:val="en-GB"/>
        </w:rPr>
        <w:t xml:space="preserve"> (</w:t>
      </w:r>
      <w:proofErr w:type="spellStart"/>
      <w:r w:rsidRPr="00E871FE">
        <w:rPr>
          <w:rFonts w:ascii="Times New Roman" w:hAnsi="Times New Roman"/>
          <w:sz w:val="20"/>
          <w:szCs w:val="20"/>
          <w:lang w:val="en-GB"/>
        </w:rPr>
        <w:t>Narotzky</w:t>
      </w:r>
      <w:proofErr w:type="spellEnd"/>
      <w:r w:rsidRPr="00E871FE">
        <w:rPr>
          <w:rFonts w:ascii="Times New Roman" w:hAnsi="Times New Roman"/>
          <w:sz w:val="20"/>
          <w:szCs w:val="20"/>
          <w:lang w:val="en-GB"/>
        </w:rPr>
        <w:t xml:space="preserve">, 2012). This approach allows us to observe the degree of complementarity of survival </w:t>
      </w:r>
      <w:proofErr w:type="gramStart"/>
      <w:r w:rsidRPr="00E871FE">
        <w:rPr>
          <w:rFonts w:ascii="Times New Roman" w:hAnsi="Times New Roman"/>
          <w:sz w:val="20"/>
          <w:szCs w:val="20"/>
          <w:lang w:val="en-GB"/>
        </w:rPr>
        <w:t>strategies which</w:t>
      </w:r>
      <w:proofErr w:type="gramEnd"/>
      <w:r w:rsidRPr="00E871FE">
        <w:rPr>
          <w:rFonts w:ascii="Times New Roman" w:hAnsi="Times New Roman"/>
          <w:sz w:val="20"/>
          <w:szCs w:val="20"/>
          <w:lang w:val="en-GB"/>
        </w:rPr>
        <w:t xml:space="preserve"> juxtaposed paid work and access to the social resources available. This multi-dimensionality of survival strategies and the role played by women’s </w:t>
      </w:r>
      <w:r w:rsidRPr="00E871FE">
        <w:rPr>
          <w:rFonts w:ascii="Times New Roman" w:hAnsi="Times New Roman"/>
          <w:i/>
          <w:sz w:val="20"/>
          <w:szCs w:val="20"/>
          <w:lang w:val="en-GB"/>
        </w:rPr>
        <w:t>agency</w:t>
      </w:r>
      <w:r w:rsidRPr="00E871FE">
        <w:rPr>
          <w:rFonts w:ascii="Times New Roman" w:hAnsi="Times New Roman"/>
          <w:sz w:val="20"/>
          <w:szCs w:val="20"/>
          <w:lang w:val="en-GB"/>
        </w:rPr>
        <w:t xml:space="preserve"> (Sen, 1998) characterizes grassroots economies at times of crisis. At the same time, the success of the strategies of the grassroots economies does not only depend on the labour market and the employment rate, but also on the institutional framework and the offering of institutions, organizations, quasi-organizations and formal and informal social welfare networks. The present research deals with an early industrial city from southern Europe. In the Barcelona of the late 18</w:t>
      </w:r>
      <w:r w:rsidRPr="00E871FE">
        <w:rPr>
          <w:rFonts w:ascii="Times New Roman" w:hAnsi="Times New Roman"/>
          <w:sz w:val="20"/>
          <w:szCs w:val="20"/>
          <w:vertAlign w:val="superscript"/>
          <w:lang w:val="en-GB"/>
        </w:rPr>
        <w:t>th</w:t>
      </w:r>
      <w:r w:rsidRPr="00E871FE">
        <w:rPr>
          <w:rFonts w:ascii="Times New Roman" w:hAnsi="Times New Roman"/>
          <w:sz w:val="20"/>
          <w:szCs w:val="20"/>
          <w:lang w:val="en-GB"/>
        </w:rPr>
        <w:t>-early 19</w:t>
      </w:r>
      <w:r w:rsidRPr="00E871FE">
        <w:rPr>
          <w:rFonts w:ascii="Times New Roman" w:hAnsi="Times New Roman"/>
          <w:sz w:val="20"/>
          <w:szCs w:val="20"/>
          <w:vertAlign w:val="superscript"/>
          <w:lang w:val="en-GB"/>
        </w:rPr>
        <w:t>th</w:t>
      </w:r>
      <w:r w:rsidRPr="00E871FE">
        <w:rPr>
          <w:rFonts w:ascii="Times New Roman" w:hAnsi="Times New Roman"/>
          <w:sz w:val="20"/>
          <w:szCs w:val="20"/>
          <w:lang w:val="en-GB"/>
        </w:rPr>
        <w:t xml:space="preserve"> centuries, the factory system developed very early, with new textile industries devoted to the production and printing of cotton textiles (</w:t>
      </w:r>
      <w:proofErr w:type="spellStart"/>
      <w:r w:rsidRPr="00E871FE">
        <w:rPr>
          <w:rFonts w:ascii="Times New Roman" w:hAnsi="Times New Roman"/>
          <w:i/>
          <w:sz w:val="20"/>
          <w:szCs w:val="20"/>
          <w:lang w:val="en-GB"/>
        </w:rPr>
        <w:t>indianas</w:t>
      </w:r>
      <w:proofErr w:type="spellEnd"/>
      <w:r w:rsidRPr="00E871FE">
        <w:rPr>
          <w:rFonts w:ascii="Times New Roman" w:hAnsi="Times New Roman"/>
          <w:sz w:val="20"/>
          <w:szCs w:val="20"/>
          <w:lang w:val="en-GB"/>
        </w:rPr>
        <w:t xml:space="preserve">-calicoes). In the second half of the </w:t>
      </w:r>
      <w:proofErr w:type="gramStart"/>
      <w:r w:rsidRPr="00E871FE">
        <w:rPr>
          <w:rFonts w:ascii="Times New Roman" w:hAnsi="Times New Roman"/>
          <w:sz w:val="20"/>
          <w:szCs w:val="20"/>
          <w:lang w:val="en-GB"/>
        </w:rPr>
        <w:t>1700s</w:t>
      </w:r>
      <w:proofErr w:type="gramEnd"/>
      <w:r w:rsidRPr="00E871FE">
        <w:rPr>
          <w:rFonts w:ascii="Times New Roman" w:hAnsi="Times New Roman"/>
          <w:sz w:val="20"/>
          <w:szCs w:val="20"/>
          <w:lang w:val="en-GB"/>
        </w:rPr>
        <w:t xml:space="preserve"> the city’s population almost tripled thanks both to the immigration of men and women and to natural population growth. </w:t>
      </w:r>
      <w:proofErr w:type="gramStart"/>
      <w:r w:rsidRPr="00E871FE">
        <w:rPr>
          <w:rFonts w:ascii="Times New Roman" w:hAnsi="Times New Roman"/>
          <w:sz w:val="20"/>
          <w:szCs w:val="20"/>
          <w:lang w:val="en-GB"/>
        </w:rPr>
        <w:t xml:space="preserve">The economic, social and demographic transformation which took place explains the urban densification, the increase in rents, the rise in food prices and the generalization of poverty and inequality, in a world in which labour opportunities for men and women, boys and girls, increased exponentially as the industrial city gradually came into existence (Mora 2013, </w:t>
      </w:r>
      <w:proofErr w:type="spellStart"/>
      <w:r w:rsidRPr="00E871FE">
        <w:rPr>
          <w:rFonts w:ascii="Times New Roman" w:hAnsi="Times New Roman"/>
          <w:sz w:val="20"/>
          <w:szCs w:val="20"/>
          <w:lang w:val="en-GB"/>
        </w:rPr>
        <w:t>Borderias</w:t>
      </w:r>
      <w:proofErr w:type="spellEnd"/>
      <w:r w:rsidRPr="00E871FE">
        <w:rPr>
          <w:rFonts w:ascii="Times New Roman" w:hAnsi="Times New Roman"/>
          <w:sz w:val="20"/>
          <w:szCs w:val="20"/>
          <w:lang w:val="en-GB"/>
        </w:rPr>
        <w:t xml:space="preserve"> 2014).To understand how the family strategies and economies of ordinary people operate, I chose to show various lines of complementary activity on obtaining resources for survival: ad hoc recourse to hospices, to microcredit institutions for the poor, public soup kitchens and begging.</w:t>
      </w:r>
      <w:proofErr w:type="gramEnd"/>
      <w:r w:rsidRPr="00E871FE">
        <w:rPr>
          <w:rFonts w:ascii="Times New Roman" w:hAnsi="Times New Roman"/>
          <w:sz w:val="20"/>
          <w:szCs w:val="20"/>
          <w:lang w:val="en-GB"/>
        </w:rPr>
        <w:t xml:space="preserve"> In short, this approach from Southern Europe will allow us to compare the survival strategies of ordinary people at times of crisis with the grassroots economies of different urban contexts in the Europe of the </w:t>
      </w:r>
      <w:proofErr w:type="spellStart"/>
      <w:r w:rsidRPr="00E871FE">
        <w:rPr>
          <w:rFonts w:ascii="Times New Roman" w:hAnsi="Times New Roman"/>
          <w:sz w:val="20"/>
          <w:szCs w:val="20"/>
          <w:lang w:val="en-GB"/>
        </w:rPr>
        <w:t>ancien</w:t>
      </w:r>
      <w:proofErr w:type="spellEnd"/>
      <w:r w:rsidRPr="00E871FE">
        <w:rPr>
          <w:rFonts w:ascii="Times New Roman" w:hAnsi="Times New Roman"/>
          <w:sz w:val="20"/>
          <w:szCs w:val="20"/>
          <w:lang w:val="en-GB"/>
        </w:rPr>
        <w:t xml:space="preserve"> régime.</w:t>
      </w:r>
    </w:p>
    <w:p w:rsidR="00C92518" w:rsidRPr="00FC5F93" w:rsidRDefault="00FC5F93">
      <w:pPr>
        <w:rPr>
          <w:lang w:val="en-GB"/>
        </w:rPr>
      </w:pPr>
    </w:p>
    <w:sectPr w:rsidR="00C92518" w:rsidRPr="00FC5F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8F"/>
    <w:rsid w:val="005547A1"/>
    <w:rsid w:val="006D54EC"/>
    <w:rsid w:val="00B4278F"/>
    <w:rsid w:val="00CC5A74"/>
    <w:rsid w:val="00FC5F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60295-88FA-4742-BA3F-6144D527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F93"/>
    <w:pPr>
      <w:spacing w:after="200" w:line="276" w:lineRule="auto"/>
    </w:pPr>
    <w:rPr>
      <w:rFonts w:ascii="Calibri" w:eastAsia="Calibri" w:hAnsi="Calibri"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F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ntsecarbonell@u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2015-11-11T18:37:00Z</dcterms:created>
  <dcterms:modified xsi:type="dcterms:W3CDTF">2015-11-11T18:38:00Z</dcterms:modified>
</cp:coreProperties>
</file>