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19" w:rsidRDefault="005A0419" w:rsidP="005A0419">
      <w:pPr>
        <w:spacing w:after="0" w:line="360" w:lineRule="auto"/>
        <w:ind w:right="278"/>
        <w:jc w:val="both"/>
        <w:rPr>
          <w:rFonts w:ascii="Times New Roman" w:hAnsi="Times New Roman"/>
          <w:i/>
          <w:color w:val="222222"/>
          <w:sz w:val="24"/>
          <w:szCs w:val="24"/>
          <w:lang w:val="en-GB"/>
        </w:rPr>
      </w:pPr>
      <w:r w:rsidRPr="00403E9C">
        <w:rPr>
          <w:rFonts w:ascii="Times New Roman" w:hAnsi="Times New Roman"/>
          <w:i/>
          <w:color w:val="222222"/>
          <w:sz w:val="24"/>
          <w:szCs w:val="24"/>
          <w:lang w:val="en-GB"/>
        </w:rPr>
        <w:t>The gender relationships in postal, telegraphic and telephonic service in Italy from XIX Century to Second World War</w:t>
      </w:r>
      <w:r>
        <w:rPr>
          <w:rFonts w:ascii="Times New Roman" w:hAnsi="Times New Roman"/>
          <w:i/>
          <w:color w:val="222222"/>
          <w:sz w:val="24"/>
          <w:szCs w:val="24"/>
          <w:lang w:val="en-GB"/>
        </w:rPr>
        <w:t>.</w:t>
      </w:r>
      <w:r w:rsidRPr="004712AB">
        <w:rPr>
          <w:rFonts w:ascii="Times New Roman" w:hAnsi="Times New Roman"/>
          <w:i/>
          <w:color w:val="222222"/>
          <w:sz w:val="24"/>
          <w:szCs w:val="24"/>
          <w:lang w:val="en-GB"/>
        </w:rPr>
        <w:t xml:space="preserve"> </w:t>
      </w:r>
    </w:p>
    <w:p w:rsidR="005A0419" w:rsidRDefault="005A0419" w:rsidP="005A0419">
      <w:pPr>
        <w:spacing w:after="0" w:line="360" w:lineRule="auto"/>
        <w:ind w:right="278"/>
        <w:jc w:val="both"/>
        <w:rPr>
          <w:rFonts w:ascii="Times New Roman" w:hAnsi="Times New Roman"/>
          <w:i/>
          <w:color w:val="222222"/>
          <w:sz w:val="24"/>
          <w:szCs w:val="24"/>
          <w:lang w:val="en-GB"/>
        </w:rPr>
      </w:pPr>
    </w:p>
    <w:p w:rsidR="005A0419" w:rsidRDefault="005A0419" w:rsidP="005A0419">
      <w:pPr>
        <w:spacing w:after="0" w:line="360" w:lineRule="auto"/>
        <w:ind w:right="278"/>
        <w:jc w:val="both"/>
        <w:rPr>
          <w:rStyle w:val="hps"/>
          <w:rFonts w:ascii="Times New Roman" w:hAnsi="Times New Roman"/>
          <w:color w:val="333333"/>
          <w:sz w:val="24"/>
          <w:szCs w:val="24"/>
          <w:lang w:val="en-US"/>
        </w:rPr>
      </w:pPr>
      <w:r w:rsidRPr="00E062EC">
        <w:rPr>
          <w:rFonts w:ascii="Times New Roman" w:hAnsi="Times New Roman"/>
          <w:color w:val="222222"/>
          <w:sz w:val="24"/>
          <w:szCs w:val="24"/>
          <w:lang w:val="en-GB"/>
        </w:rPr>
        <w:t>Laura Savelli</w:t>
      </w:r>
      <w:r>
        <w:rPr>
          <w:rFonts w:ascii="Times New Roman" w:hAnsi="Times New Roman"/>
          <w:i/>
          <w:color w:val="222222"/>
          <w:sz w:val="24"/>
          <w:szCs w:val="24"/>
          <w:lang w:val="en-GB"/>
        </w:rPr>
        <w:t xml:space="preserve"> </w:t>
      </w:r>
      <w:r w:rsidRPr="00F35AC1">
        <w:rPr>
          <w:rFonts w:ascii="Times New Roman" w:hAnsi="Times New Roman"/>
          <w:color w:val="222222"/>
          <w:sz w:val="24"/>
          <w:szCs w:val="24"/>
          <w:lang w:val="en-GB"/>
        </w:rPr>
        <w:t>(</w:t>
      </w:r>
      <w:r w:rsidRPr="00F35AC1">
        <w:rPr>
          <w:rStyle w:val="hps"/>
          <w:rFonts w:ascii="Times New Roman" w:hAnsi="Times New Roman"/>
          <w:color w:val="333333"/>
          <w:sz w:val="24"/>
          <w:szCs w:val="24"/>
          <w:lang w:val="en-US"/>
        </w:rPr>
        <w:t>Universit</w:t>
      </w:r>
      <w:r>
        <w:rPr>
          <w:rStyle w:val="hps"/>
          <w:rFonts w:ascii="Times New Roman" w:hAnsi="Times New Roman"/>
          <w:color w:val="333333"/>
          <w:sz w:val="24"/>
          <w:szCs w:val="24"/>
          <w:lang w:val="en-US"/>
        </w:rPr>
        <w:t>y of</w:t>
      </w:r>
      <w:r w:rsidRPr="00F35AC1">
        <w:rPr>
          <w:rStyle w:val="hps"/>
          <w:rFonts w:ascii="Times New Roman" w:hAnsi="Times New Roman"/>
          <w:color w:val="333333"/>
          <w:sz w:val="24"/>
          <w:szCs w:val="24"/>
          <w:lang w:val="en-US"/>
        </w:rPr>
        <w:t xml:space="preserve"> Pisa</w:t>
      </w:r>
      <w:r>
        <w:rPr>
          <w:rStyle w:val="hps"/>
          <w:rFonts w:ascii="Times New Roman" w:hAnsi="Times New Roman"/>
          <w:color w:val="333333"/>
          <w:sz w:val="24"/>
          <w:szCs w:val="24"/>
          <w:lang w:val="en-US"/>
        </w:rPr>
        <w:t>)</w:t>
      </w:r>
      <w:r w:rsidRPr="00F35AC1">
        <w:rPr>
          <w:rStyle w:val="hps"/>
          <w:rFonts w:ascii="Times New Roman" w:hAnsi="Times New Roman"/>
          <w:color w:val="333333"/>
          <w:sz w:val="24"/>
          <w:szCs w:val="24"/>
          <w:lang w:val="en-US"/>
        </w:rPr>
        <w:t xml:space="preserve">. </w:t>
      </w:r>
      <w:hyperlink r:id="rId4" w:history="1">
        <w:r w:rsidRPr="0076225F">
          <w:rPr>
            <w:rStyle w:val="Hyperlink"/>
            <w:rFonts w:ascii="Times New Roman" w:hAnsi="Times New Roman"/>
            <w:sz w:val="24"/>
            <w:szCs w:val="24"/>
            <w:lang w:val="en-US"/>
          </w:rPr>
          <w:t>laura.savelli@unipi.it</w:t>
        </w:r>
      </w:hyperlink>
    </w:p>
    <w:p w:rsidR="005A0419" w:rsidRDefault="005A0419" w:rsidP="005A0419">
      <w:pPr>
        <w:spacing w:after="0" w:line="360" w:lineRule="auto"/>
        <w:jc w:val="both"/>
        <w:rPr>
          <w:rFonts w:ascii="Times New Roman" w:hAnsi="Times New Roman"/>
          <w:b/>
          <w:color w:val="222222"/>
          <w:sz w:val="20"/>
          <w:szCs w:val="20"/>
          <w:lang w:val="en-GB"/>
        </w:rPr>
      </w:pPr>
    </w:p>
    <w:p w:rsidR="005A0419" w:rsidRPr="00E871FE" w:rsidRDefault="005A0419" w:rsidP="005A0419">
      <w:pPr>
        <w:spacing w:after="0" w:line="360" w:lineRule="auto"/>
        <w:jc w:val="both"/>
        <w:rPr>
          <w:rFonts w:ascii="Times New Roman" w:hAnsi="Times New Roman"/>
          <w:sz w:val="20"/>
          <w:szCs w:val="20"/>
          <w:highlight w:val="yellow"/>
          <w:lang w:val="en-GB"/>
        </w:rPr>
      </w:pPr>
      <w:bookmarkStart w:id="0" w:name="_GoBack"/>
      <w:bookmarkEnd w:id="0"/>
      <w:r w:rsidRPr="00CC07D5">
        <w:rPr>
          <w:rFonts w:ascii="Times New Roman" w:hAnsi="Times New Roman"/>
          <w:b/>
          <w:color w:val="222222"/>
          <w:sz w:val="20"/>
          <w:szCs w:val="20"/>
          <w:lang w:val="en-GB"/>
        </w:rPr>
        <w:t>Abstract:</w:t>
      </w:r>
      <w:r>
        <w:rPr>
          <w:rFonts w:ascii="Times New Roman" w:hAnsi="Times New Roman"/>
          <w:color w:val="222222"/>
          <w:sz w:val="20"/>
          <w:szCs w:val="20"/>
          <w:lang w:val="en-GB"/>
        </w:rPr>
        <w:t xml:space="preserve"> </w:t>
      </w:r>
      <w:r w:rsidRPr="00E871FE">
        <w:rPr>
          <w:rFonts w:ascii="Times New Roman" w:hAnsi="Times New Roman"/>
          <w:color w:val="222222"/>
          <w:sz w:val="20"/>
          <w:szCs w:val="20"/>
          <w:lang w:val="en-GB"/>
        </w:rPr>
        <w:t xml:space="preserve">Only from few years, the gender history and labour history have turned to the examination of gender relations in the world of offices and professions. The postal, telegraphic and telephonic sector was an important support for the development of the whole economy, and played a crucial social and political role. However, only recently, scholars focused on the labour relations in this strategic area of white collars’ job.  </w:t>
      </w:r>
      <w:proofErr w:type="spellStart"/>
      <w:r w:rsidRPr="00E871FE">
        <w:rPr>
          <w:rFonts w:ascii="Times New Roman" w:hAnsi="Times New Roman"/>
          <w:color w:val="222222"/>
          <w:sz w:val="20"/>
          <w:szCs w:val="20"/>
          <w:lang w:val="en-GB"/>
        </w:rPr>
        <w:t>Melis</w:t>
      </w:r>
      <w:proofErr w:type="spellEnd"/>
      <w:r w:rsidRPr="00E871FE">
        <w:rPr>
          <w:rFonts w:ascii="Times New Roman" w:hAnsi="Times New Roman"/>
          <w:color w:val="222222"/>
          <w:sz w:val="20"/>
          <w:szCs w:val="20"/>
          <w:lang w:val="en-GB"/>
        </w:rPr>
        <w:t xml:space="preserve"> emphasized the early Italian union’s activity, but also its difficulty in holding together different categories of workers and in drawing a program, at the same time, effective- the right to organize and strike- and consciousness of the civil servants’ responsibility in the good performance of the service. </w:t>
      </w:r>
      <w:r w:rsidRPr="00E871FE">
        <w:rPr>
          <w:rFonts w:ascii="Times New Roman" w:hAnsi="Times New Roman"/>
          <w:color w:val="222222"/>
          <w:sz w:val="20"/>
          <w:szCs w:val="20"/>
          <w:lang w:val="en-GB" w:eastAsia="it-IT"/>
        </w:rPr>
        <w:t xml:space="preserve">A few years later </w:t>
      </w:r>
      <w:proofErr w:type="spellStart"/>
      <w:r w:rsidRPr="00E871FE">
        <w:rPr>
          <w:rFonts w:ascii="Times New Roman" w:hAnsi="Times New Roman"/>
          <w:color w:val="222222"/>
          <w:sz w:val="20"/>
          <w:szCs w:val="20"/>
          <w:lang w:val="en-GB" w:eastAsia="it-IT"/>
        </w:rPr>
        <w:t>Bachrach</w:t>
      </w:r>
      <w:proofErr w:type="spellEnd"/>
      <w:r w:rsidRPr="00E871FE">
        <w:rPr>
          <w:rFonts w:ascii="Times New Roman" w:hAnsi="Times New Roman"/>
          <w:color w:val="222222"/>
          <w:sz w:val="20"/>
          <w:szCs w:val="20"/>
          <w:lang w:val="en-GB" w:eastAsia="it-IT"/>
        </w:rPr>
        <w:t xml:space="preserve">, in her article, </w:t>
      </w:r>
      <w:r w:rsidRPr="00E871FE">
        <w:rPr>
          <w:rFonts w:ascii="Times New Roman" w:hAnsi="Times New Roman"/>
          <w:i/>
          <w:color w:val="222222"/>
          <w:sz w:val="20"/>
          <w:szCs w:val="20"/>
          <w:lang w:val="en-GB" w:eastAsia="it-IT"/>
        </w:rPr>
        <w:t xml:space="preserve">La </w:t>
      </w:r>
      <w:proofErr w:type="spellStart"/>
      <w:r w:rsidRPr="00E871FE">
        <w:rPr>
          <w:rFonts w:ascii="Times New Roman" w:hAnsi="Times New Roman"/>
          <w:i/>
          <w:color w:val="222222"/>
          <w:sz w:val="20"/>
          <w:szCs w:val="20"/>
          <w:lang w:val="en-GB" w:eastAsia="it-IT"/>
        </w:rPr>
        <w:t>féminisation</w:t>
      </w:r>
      <w:proofErr w:type="spellEnd"/>
      <w:r w:rsidRPr="00E871FE">
        <w:rPr>
          <w:rFonts w:ascii="Times New Roman" w:hAnsi="Times New Roman"/>
          <w:i/>
          <w:color w:val="222222"/>
          <w:sz w:val="20"/>
          <w:szCs w:val="20"/>
          <w:lang w:val="en-GB" w:eastAsia="it-IT"/>
        </w:rPr>
        <w:t xml:space="preserve"> des PTT au </w:t>
      </w:r>
      <w:proofErr w:type="spellStart"/>
      <w:r w:rsidRPr="00E871FE">
        <w:rPr>
          <w:rFonts w:ascii="Times New Roman" w:hAnsi="Times New Roman"/>
          <w:i/>
          <w:color w:val="222222"/>
          <w:sz w:val="20"/>
          <w:szCs w:val="20"/>
          <w:lang w:val="en-GB" w:eastAsia="it-IT"/>
        </w:rPr>
        <w:t>tournant</w:t>
      </w:r>
      <w:proofErr w:type="spellEnd"/>
      <w:r w:rsidRPr="00E871FE">
        <w:rPr>
          <w:rFonts w:ascii="Times New Roman" w:hAnsi="Times New Roman"/>
          <w:i/>
          <w:color w:val="222222"/>
          <w:sz w:val="20"/>
          <w:szCs w:val="20"/>
          <w:lang w:val="en-GB" w:eastAsia="it-IT"/>
        </w:rPr>
        <w:t xml:space="preserve"> du siècle</w:t>
      </w:r>
      <w:r w:rsidRPr="00E871FE">
        <w:rPr>
          <w:rFonts w:ascii="Times New Roman" w:hAnsi="Times New Roman"/>
          <w:color w:val="222222"/>
          <w:sz w:val="20"/>
          <w:szCs w:val="20"/>
          <w:lang w:val="en-GB" w:eastAsia="it-IT"/>
        </w:rPr>
        <w:t xml:space="preserve"> (France), pointed out that the States and private companies considered convenient to hire as soon as possible a minimum educated women. </w:t>
      </w:r>
      <w:proofErr w:type="gramStart"/>
      <w:r w:rsidRPr="00E871FE">
        <w:rPr>
          <w:rFonts w:ascii="Times New Roman" w:hAnsi="Times New Roman"/>
          <w:color w:val="222222"/>
          <w:sz w:val="20"/>
          <w:szCs w:val="20"/>
          <w:lang w:val="en-GB"/>
        </w:rPr>
        <w:t xml:space="preserve">Like employees in central offices, as well as in the direction of local ones, women showed </w:t>
      </w:r>
      <w:r w:rsidRPr="00E871FE">
        <w:rPr>
          <w:rFonts w:ascii="Times New Roman" w:eastAsia="Times New Roman" w:hAnsi="Times New Roman"/>
          <w:color w:val="222222"/>
          <w:sz w:val="20"/>
          <w:szCs w:val="20"/>
          <w:lang w:val="en-GB" w:eastAsia="it-IT"/>
        </w:rPr>
        <w:t xml:space="preserve">certain qualities that men appeared lacking: lower claims in income and career, more grace and discretion, less interest in the local </w:t>
      </w:r>
      <w:proofErr w:type="spellStart"/>
      <w:r w:rsidRPr="00E871FE">
        <w:rPr>
          <w:rFonts w:ascii="Times New Roman" w:eastAsia="Times New Roman" w:hAnsi="Times New Roman"/>
          <w:color w:val="222222"/>
          <w:sz w:val="20"/>
          <w:szCs w:val="20"/>
          <w:lang w:val="en-GB" w:eastAsia="it-IT"/>
        </w:rPr>
        <w:t>quarrels</w:t>
      </w:r>
      <w:r w:rsidRPr="00E871FE">
        <w:rPr>
          <w:rStyle w:val="hps"/>
          <w:rFonts w:ascii="Times New Roman" w:hAnsi="Times New Roman"/>
          <w:color w:val="222222"/>
          <w:sz w:val="20"/>
          <w:szCs w:val="20"/>
          <w:lang w:val="en-GB"/>
        </w:rPr>
        <w:t>.</w:t>
      </w:r>
      <w:r w:rsidRPr="00E871FE">
        <w:rPr>
          <w:rFonts w:ascii="Times New Roman" w:hAnsi="Times New Roman"/>
          <w:color w:val="222222"/>
          <w:sz w:val="20"/>
          <w:szCs w:val="20"/>
          <w:lang w:val="en-GB"/>
        </w:rPr>
        <w:t>The</w:t>
      </w:r>
      <w:proofErr w:type="spellEnd"/>
      <w:r w:rsidRPr="00E871FE">
        <w:rPr>
          <w:rFonts w:ascii="Times New Roman" w:hAnsi="Times New Roman"/>
          <w:color w:val="222222"/>
          <w:sz w:val="20"/>
          <w:szCs w:val="20"/>
          <w:lang w:val="en-GB"/>
        </w:rPr>
        <w:t xml:space="preserve"> gender perspective proved to be especially productive for the examination of labour relations in this area, and the professional identities of female clerks, since Norwood and </w:t>
      </w:r>
      <w:proofErr w:type="spellStart"/>
      <w:r w:rsidRPr="00E871FE">
        <w:rPr>
          <w:rFonts w:ascii="Times New Roman" w:hAnsi="Times New Roman"/>
          <w:color w:val="222222"/>
          <w:sz w:val="20"/>
          <w:szCs w:val="20"/>
          <w:lang w:val="en-GB"/>
        </w:rPr>
        <w:t>Borderias</w:t>
      </w:r>
      <w:proofErr w:type="spellEnd"/>
      <w:r w:rsidRPr="00E871FE">
        <w:rPr>
          <w:rFonts w:ascii="Times New Roman" w:hAnsi="Times New Roman"/>
          <w:color w:val="222222"/>
          <w:sz w:val="20"/>
          <w:szCs w:val="20"/>
          <w:lang w:val="en-GB"/>
        </w:rPr>
        <w:t xml:space="preserve"> researches on </w:t>
      </w:r>
      <w:r w:rsidRPr="00E871FE">
        <w:rPr>
          <w:rFonts w:ascii="Times New Roman" w:hAnsi="Times New Roman"/>
          <w:bCs/>
          <w:color w:val="222222"/>
          <w:sz w:val="20"/>
          <w:szCs w:val="20"/>
          <w:lang w:val="en-GB"/>
        </w:rPr>
        <w:t>switchboard girls</w:t>
      </w:r>
      <w:r w:rsidRPr="00E871FE">
        <w:rPr>
          <w:rStyle w:val="hps"/>
          <w:rFonts w:ascii="Times New Roman" w:hAnsi="Times New Roman"/>
          <w:color w:val="222222"/>
          <w:sz w:val="20"/>
          <w:szCs w:val="20"/>
          <w:lang w:val="en-GB"/>
        </w:rPr>
        <w:t>.</w:t>
      </w:r>
      <w:proofErr w:type="gramEnd"/>
      <w:r w:rsidRPr="00E871FE">
        <w:rPr>
          <w:rStyle w:val="Heading1Char"/>
          <w:rFonts w:ascii="Times New Roman" w:eastAsia="Calibri" w:hAnsi="Times New Roman"/>
          <w:bCs w:val="0"/>
          <w:color w:val="222222"/>
          <w:sz w:val="20"/>
          <w:szCs w:val="20"/>
          <w:lang w:val="en-GB"/>
        </w:rPr>
        <w:t xml:space="preserve"> </w:t>
      </w:r>
      <w:r w:rsidRPr="00E871FE">
        <w:rPr>
          <w:rStyle w:val="hps"/>
          <w:rFonts w:ascii="Times New Roman" w:hAnsi="Times New Roman"/>
          <w:color w:val="222222"/>
          <w:sz w:val="20"/>
          <w:szCs w:val="20"/>
          <w:lang w:val="en-GB"/>
        </w:rPr>
        <w:t xml:space="preserve">Our researches on postal telegraphic and telephonic female staff pointed out </w:t>
      </w:r>
      <w:r w:rsidRPr="00E871FE">
        <w:rPr>
          <w:rFonts w:ascii="Times New Roman" w:eastAsia="Times New Roman" w:hAnsi="Times New Roman"/>
          <w:color w:val="222222"/>
          <w:sz w:val="20"/>
          <w:szCs w:val="20"/>
          <w:lang w:val="en-GB" w:eastAsia="it-IT"/>
        </w:rPr>
        <w:t xml:space="preserve">the importance of these workers in the feminisation of </w:t>
      </w:r>
      <w:r w:rsidRPr="00E871FE">
        <w:rPr>
          <w:rStyle w:val="hps"/>
          <w:rFonts w:ascii="Times New Roman" w:hAnsi="Times New Roman"/>
          <w:color w:val="222222"/>
          <w:sz w:val="20"/>
          <w:szCs w:val="20"/>
          <w:lang w:val="en-GB"/>
        </w:rPr>
        <w:t>clerical work</w:t>
      </w:r>
      <w:r w:rsidRPr="00E871FE">
        <w:rPr>
          <w:rFonts w:ascii="Times New Roman" w:eastAsia="Times New Roman" w:hAnsi="Times New Roman"/>
          <w:color w:val="222222"/>
          <w:sz w:val="20"/>
          <w:szCs w:val="20"/>
          <w:lang w:val="en-GB" w:eastAsia="it-IT"/>
        </w:rPr>
        <w:t>: a job not related to the maternal function</w:t>
      </w:r>
      <w:r w:rsidRPr="00E871FE">
        <w:rPr>
          <w:rStyle w:val="hps"/>
          <w:rFonts w:ascii="Times New Roman" w:hAnsi="Times New Roman"/>
          <w:color w:val="222222"/>
          <w:sz w:val="20"/>
          <w:szCs w:val="20"/>
          <w:lang w:val="en-GB"/>
        </w:rPr>
        <w:t>, and, in the small cities,</w:t>
      </w:r>
      <w:r w:rsidRPr="00E871FE">
        <w:rPr>
          <w:rFonts w:ascii="Times New Roman" w:hAnsi="Times New Roman"/>
          <w:iCs/>
          <w:sz w:val="20"/>
          <w:szCs w:val="20"/>
          <w:lang w:val="en-GB"/>
        </w:rPr>
        <w:t xml:space="preserve"> a social presence unusual for women</w:t>
      </w:r>
      <w:r w:rsidRPr="00E871FE">
        <w:rPr>
          <w:rStyle w:val="hps"/>
          <w:rFonts w:ascii="Times New Roman" w:hAnsi="Times New Roman"/>
          <w:color w:val="222222"/>
          <w:sz w:val="20"/>
          <w:szCs w:val="20"/>
          <w:lang w:val="en-GB"/>
        </w:rPr>
        <w:t>. Our contribution</w:t>
      </w:r>
      <w:r w:rsidRPr="00E871FE">
        <w:rPr>
          <w:rStyle w:val="shorttext"/>
          <w:rFonts w:ascii="Times New Roman" w:hAnsi="Times New Roman"/>
          <w:color w:val="222222"/>
          <w:sz w:val="20"/>
          <w:szCs w:val="20"/>
          <w:lang w:val="en-GB"/>
        </w:rPr>
        <w:t xml:space="preserve"> </w:t>
      </w:r>
      <w:r w:rsidRPr="00E871FE">
        <w:rPr>
          <w:rStyle w:val="hpsalt-edited"/>
          <w:rFonts w:ascii="Times New Roman" w:hAnsi="Times New Roman"/>
          <w:color w:val="222222"/>
          <w:sz w:val="20"/>
          <w:szCs w:val="20"/>
          <w:lang w:val="en-GB"/>
        </w:rPr>
        <w:t xml:space="preserve">wishes to emphasize </w:t>
      </w:r>
      <w:r w:rsidRPr="00E871FE">
        <w:rPr>
          <w:rStyle w:val="hps"/>
          <w:rFonts w:ascii="Times New Roman" w:hAnsi="Times New Roman"/>
          <w:color w:val="222222"/>
          <w:sz w:val="20"/>
          <w:szCs w:val="20"/>
          <w:lang w:val="en-GB"/>
        </w:rPr>
        <w:t>the battle</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of the Italian postal telegraphic and telephonic female workers</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in the feminist ranks</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and</w:t>
      </w:r>
      <w:r w:rsidRPr="00E871FE">
        <w:rPr>
          <w:rFonts w:ascii="Times New Roman" w:hAnsi="Times New Roman"/>
          <w:color w:val="222222"/>
          <w:sz w:val="20"/>
          <w:szCs w:val="20"/>
          <w:lang w:val="en-GB"/>
        </w:rPr>
        <w:t xml:space="preserve"> in </w:t>
      </w:r>
      <w:r w:rsidRPr="00E871FE">
        <w:rPr>
          <w:rStyle w:val="hps"/>
          <w:rFonts w:ascii="Times New Roman" w:hAnsi="Times New Roman"/>
          <w:color w:val="222222"/>
          <w:sz w:val="20"/>
          <w:szCs w:val="20"/>
          <w:lang w:val="en-GB"/>
        </w:rPr>
        <w:t>trade union movement</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for</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the achievement of their</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rights as workers</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civil servants</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and</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women</w:t>
      </w:r>
      <w:r w:rsidRPr="00E871FE">
        <w:rPr>
          <w:rFonts w:ascii="Times New Roman" w:hAnsi="Times New Roman"/>
          <w:color w:val="222222"/>
          <w:sz w:val="20"/>
          <w:szCs w:val="20"/>
          <w:lang w:val="en-GB"/>
        </w:rPr>
        <w:t>. The same battle carried on their companions in other nations. From the</w:t>
      </w:r>
      <w:r w:rsidRPr="00E871FE">
        <w:rPr>
          <w:rStyle w:val="hps"/>
          <w:rFonts w:ascii="Times New Roman" w:hAnsi="Times New Roman"/>
          <w:color w:val="222222"/>
          <w:sz w:val="20"/>
          <w:szCs w:val="20"/>
          <w:lang w:val="en-GB"/>
        </w:rPr>
        <w:t xml:space="preserve"> end of</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the 800th</w:t>
      </w:r>
      <w:r w:rsidRPr="00E871FE">
        <w:rPr>
          <w:rFonts w:ascii="Times New Roman" w:hAnsi="Times New Roman"/>
          <w:color w:val="222222"/>
          <w:sz w:val="20"/>
          <w:szCs w:val="20"/>
          <w:lang w:val="en-GB"/>
        </w:rPr>
        <w:t xml:space="preserve"> and </w:t>
      </w:r>
      <w:r w:rsidRPr="00E871FE">
        <w:rPr>
          <w:rStyle w:val="hps"/>
          <w:rFonts w:ascii="Times New Roman" w:hAnsi="Times New Roman"/>
          <w:color w:val="222222"/>
          <w:sz w:val="20"/>
          <w:szCs w:val="20"/>
          <w:lang w:val="en-GB"/>
        </w:rPr>
        <w:t>beginning</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900th</w:t>
      </w:r>
      <w:r w:rsidRPr="00E871FE">
        <w:rPr>
          <w:rFonts w:ascii="Times New Roman" w:hAnsi="Times New Roman"/>
          <w:color w:val="222222"/>
          <w:sz w:val="20"/>
          <w:szCs w:val="20"/>
          <w:lang w:val="en-GB"/>
        </w:rPr>
        <w:t xml:space="preserve">, female clerks </w:t>
      </w:r>
      <w:r w:rsidRPr="00E871FE">
        <w:rPr>
          <w:rStyle w:val="hps"/>
          <w:rFonts w:ascii="Times New Roman" w:hAnsi="Times New Roman"/>
          <w:color w:val="222222"/>
          <w:sz w:val="20"/>
          <w:szCs w:val="20"/>
          <w:lang w:val="en-GB"/>
        </w:rPr>
        <w:t>fought</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mainly</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for stability</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and freedom of</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occupation-</w:t>
      </w:r>
      <w:r w:rsidRPr="00E871FE">
        <w:rPr>
          <w:rFonts w:ascii="Times New Roman" w:hAnsi="Times New Roman"/>
          <w:color w:val="222222"/>
          <w:sz w:val="20"/>
          <w:szCs w:val="20"/>
          <w:lang w:val="en-GB"/>
        </w:rPr>
        <w:t xml:space="preserve"> particularly </w:t>
      </w:r>
      <w:r w:rsidRPr="00E871FE">
        <w:rPr>
          <w:rStyle w:val="hps"/>
          <w:rFonts w:ascii="Times New Roman" w:hAnsi="Times New Roman"/>
          <w:color w:val="222222"/>
          <w:sz w:val="20"/>
          <w:szCs w:val="20"/>
          <w:lang w:val="en-GB"/>
        </w:rPr>
        <w:t>against</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the obligation</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to spinsterhood-</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 xml:space="preserve"> for</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equality in rules and wages</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for</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the right to</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career</w:t>
      </w:r>
      <w:r w:rsidRPr="00E871FE">
        <w:rPr>
          <w:rFonts w:ascii="Times New Roman" w:hAnsi="Times New Roman"/>
          <w:color w:val="222222"/>
          <w:sz w:val="20"/>
          <w:szCs w:val="20"/>
          <w:lang w:val="en-GB"/>
        </w:rPr>
        <w:t xml:space="preserve">. In the period between the two world wars, the </w:t>
      </w:r>
      <w:r w:rsidRPr="00E871FE">
        <w:rPr>
          <w:rStyle w:val="hps"/>
          <w:rFonts w:ascii="Times New Roman" w:hAnsi="Times New Roman"/>
          <w:color w:val="222222"/>
          <w:sz w:val="20"/>
          <w:szCs w:val="20"/>
          <w:lang w:val="en-GB"/>
        </w:rPr>
        <w:t>postal telegraphic and telephonic female workers</w:t>
      </w:r>
      <w:r w:rsidRPr="00E871FE">
        <w:rPr>
          <w:rFonts w:ascii="Times New Roman" w:hAnsi="Times New Roman"/>
          <w:color w:val="222222"/>
          <w:sz w:val="20"/>
          <w:szCs w:val="20"/>
          <w:lang w:val="en-GB"/>
        </w:rPr>
        <w:t xml:space="preserve"> took a </w:t>
      </w:r>
      <w:r w:rsidRPr="00E871FE">
        <w:rPr>
          <w:rStyle w:val="hps"/>
          <w:rFonts w:ascii="Times New Roman" w:hAnsi="Times New Roman"/>
          <w:color w:val="222222"/>
          <w:sz w:val="20"/>
          <w:szCs w:val="20"/>
          <w:lang w:val="en-GB"/>
        </w:rPr>
        <w:t>significant part</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within the union International PTT</w:t>
      </w:r>
      <w:r w:rsidRPr="00E871FE">
        <w:rPr>
          <w:rFonts w:ascii="Times New Roman" w:hAnsi="Times New Roman"/>
          <w:color w:val="222222"/>
          <w:sz w:val="20"/>
          <w:szCs w:val="20"/>
          <w:lang w:val="en-GB"/>
        </w:rPr>
        <w:t xml:space="preserve">, and </w:t>
      </w:r>
      <w:r w:rsidRPr="00E871FE">
        <w:rPr>
          <w:rFonts w:ascii="Times New Roman" w:hAnsi="Times New Roman"/>
          <w:color w:val="222222"/>
          <w:sz w:val="20"/>
          <w:szCs w:val="20"/>
          <w:lang w:val="en-GB" w:eastAsia="it-IT"/>
        </w:rPr>
        <w:t>added new issues</w:t>
      </w:r>
      <w:r w:rsidRPr="00E871FE">
        <w:rPr>
          <w:rFonts w:ascii="Times New Roman" w:hAnsi="Times New Roman"/>
          <w:color w:val="222222"/>
          <w:sz w:val="20"/>
          <w:szCs w:val="20"/>
          <w:lang w:val="en-GB"/>
        </w:rPr>
        <w:t xml:space="preserve">: </w:t>
      </w:r>
      <w:r w:rsidRPr="00E871FE">
        <w:rPr>
          <w:rFonts w:ascii="Times New Roman" w:hAnsi="Times New Roman"/>
          <w:sz w:val="20"/>
          <w:szCs w:val="20"/>
          <w:lang w:val="en-GB"/>
        </w:rPr>
        <w:t xml:space="preserve">occupational diseases and health at work, maternity protection, </w:t>
      </w:r>
      <w:r w:rsidRPr="00E871FE">
        <w:rPr>
          <w:rStyle w:val="hps"/>
          <w:rFonts w:ascii="Times New Roman" w:hAnsi="Times New Roman"/>
          <w:color w:val="222222"/>
          <w:sz w:val="20"/>
          <w:szCs w:val="20"/>
          <w:lang w:val="en-GB"/>
        </w:rPr>
        <w:t>family benefits</w:t>
      </w:r>
      <w:r w:rsidRPr="00E871FE">
        <w:rPr>
          <w:rFonts w:ascii="Times New Roman" w:hAnsi="Times New Roman"/>
          <w:color w:val="222222"/>
          <w:sz w:val="20"/>
          <w:szCs w:val="20"/>
          <w:lang w:val="en-GB"/>
        </w:rPr>
        <w:t xml:space="preserve"> for women employees </w:t>
      </w:r>
      <w:r w:rsidRPr="00E871FE">
        <w:rPr>
          <w:rStyle w:val="hps"/>
          <w:rFonts w:ascii="Times New Roman" w:hAnsi="Times New Roman"/>
          <w:color w:val="222222"/>
          <w:sz w:val="20"/>
          <w:szCs w:val="20"/>
          <w:lang w:val="en-GB"/>
        </w:rPr>
        <w:t>and pension</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 xml:space="preserve">for their </w:t>
      </w:r>
      <w:proofErr w:type="gramStart"/>
      <w:r w:rsidRPr="00E871FE">
        <w:rPr>
          <w:rStyle w:val="hps"/>
          <w:rFonts w:ascii="Times New Roman" w:hAnsi="Times New Roman"/>
          <w:color w:val="222222"/>
          <w:sz w:val="20"/>
          <w:szCs w:val="20"/>
          <w:lang w:val="en-GB"/>
        </w:rPr>
        <w:t>children, also</w:t>
      </w:r>
      <w:proofErr w:type="gramEnd"/>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in the case</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of</w:t>
      </w:r>
      <w:r w:rsidRPr="00E871FE">
        <w:rPr>
          <w:rFonts w:ascii="Times New Roman" w:hAnsi="Times New Roman"/>
          <w:color w:val="222222"/>
          <w:sz w:val="20"/>
          <w:szCs w:val="20"/>
          <w:lang w:val="en-GB"/>
        </w:rPr>
        <w:t xml:space="preserve"> </w:t>
      </w:r>
      <w:r w:rsidRPr="00E871FE">
        <w:rPr>
          <w:rStyle w:val="hps"/>
          <w:rFonts w:ascii="Times New Roman" w:hAnsi="Times New Roman"/>
          <w:color w:val="222222"/>
          <w:sz w:val="20"/>
          <w:szCs w:val="20"/>
          <w:lang w:val="en-GB"/>
        </w:rPr>
        <w:t>single mothers.</w:t>
      </w:r>
    </w:p>
    <w:p w:rsidR="00C92518" w:rsidRPr="005A0419" w:rsidRDefault="005A0419">
      <w:pPr>
        <w:rPr>
          <w:lang w:val="en-GB"/>
        </w:rPr>
      </w:pPr>
    </w:p>
    <w:sectPr w:rsidR="00C92518" w:rsidRPr="005A04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04"/>
    <w:rsid w:val="005547A1"/>
    <w:rsid w:val="005A0419"/>
    <w:rsid w:val="006D54EC"/>
    <w:rsid w:val="00BB5904"/>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81DCD-7FA1-45A3-9502-A7F8D2EC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419"/>
    <w:pPr>
      <w:spacing w:after="200" w:line="276" w:lineRule="auto"/>
    </w:pPr>
    <w:rPr>
      <w:rFonts w:ascii="Calibri" w:eastAsia="Calibri" w:hAnsi="Calibri" w:cs="Times New Roman"/>
      <w:lang w:val="es-ES"/>
    </w:rPr>
  </w:style>
  <w:style w:type="paragraph" w:styleId="Heading1">
    <w:name w:val="heading 1"/>
    <w:basedOn w:val="Normal"/>
    <w:next w:val="Normal"/>
    <w:link w:val="Heading1Char"/>
    <w:uiPriority w:val="9"/>
    <w:qFormat/>
    <w:rsid w:val="005A0419"/>
    <w:pPr>
      <w:keepNext/>
      <w:keepLines/>
      <w:spacing w:before="480" w:after="0" w:line="240" w:lineRule="auto"/>
      <w:outlineLvl w:val="0"/>
    </w:pPr>
    <w:rPr>
      <w:rFonts w:ascii="Cambria" w:eastAsia="Times New Roman" w:hAnsi="Cambria"/>
      <w:b/>
      <w:bCs/>
      <w:color w:val="365F91"/>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19"/>
    <w:rPr>
      <w:rFonts w:ascii="Cambria" w:eastAsia="Times New Roman" w:hAnsi="Cambria" w:cs="Times New Roman"/>
      <w:b/>
      <w:bCs/>
      <w:color w:val="365F91"/>
      <w:sz w:val="28"/>
      <w:szCs w:val="28"/>
      <w:lang w:val="sv-SE"/>
    </w:rPr>
  </w:style>
  <w:style w:type="character" w:customStyle="1" w:styleId="hps">
    <w:name w:val="hps"/>
    <w:basedOn w:val="DefaultParagraphFont"/>
    <w:uiPriority w:val="99"/>
    <w:rsid w:val="005A0419"/>
  </w:style>
  <w:style w:type="character" w:styleId="Hyperlink">
    <w:name w:val="Hyperlink"/>
    <w:basedOn w:val="DefaultParagraphFont"/>
    <w:uiPriority w:val="99"/>
    <w:unhideWhenUsed/>
    <w:rsid w:val="005A0419"/>
    <w:rPr>
      <w:color w:val="0000FF"/>
      <w:u w:val="single"/>
    </w:rPr>
  </w:style>
  <w:style w:type="character" w:customStyle="1" w:styleId="shorttext">
    <w:name w:val="short_text"/>
    <w:basedOn w:val="DefaultParagraphFont"/>
    <w:uiPriority w:val="99"/>
    <w:rsid w:val="005A0419"/>
    <w:rPr>
      <w:rFonts w:cs="Times New Roman"/>
    </w:rPr>
  </w:style>
  <w:style w:type="character" w:customStyle="1" w:styleId="hpsalt-edited">
    <w:name w:val="hps alt-edited"/>
    <w:basedOn w:val="DefaultParagraphFont"/>
    <w:uiPriority w:val="99"/>
    <w:rsid w:val="005A04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a.savelli@unip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2015-11-11T18:38:00Z</dcterms:created>
  <dcterms:modified xsi:type="dcterms:W3CDTF">2015-11-11T18:38:00Z</dcterms:modified>
</cp:coreProperties>
</file>